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241" w:rsidRPr="00085241" w:rsidRDefault="00085241" w:rsidP="00781082">
      <w:pPr>
        <w:tabs>
          <w:tab w:val="left" w:pos="1843"/>
        </w:tabs>
        <w:spacing w:after="0" w:line="276" w:lineRule="auto"/>
        <w:jc w:val="both"/>
        <w:rPr>
          <w:rFonts w:ascii="Palatino Linotype" w:hAnsi="Palatino Linotype" w:cs="Tahoma"/>
          <w:b/>
          <w:sz w:val="24"/>
          <w:szCs w:val="24"/>
        </w:rPr>
      </w:pPr>
    </w:p>
    <w:p w:rsidR="00A22273" w:rsidRPr="00A0224B" w:rsidRDefault="00A22273" w:rsidP="00781082">
      <w:pPr>
        <w:tabs>
          <w:tab w:val="left" w:pos="1843"/>
        </w:tabs>
        <w:spacing w:after="0" w:line="276" w:lineRule="auto"/>
        <w:jc w:val="both"/>
        <w:rPr>
          <w:rFonts w:ascii="Palatino Linotype" w:hAnsi="Palatino Linotype" w:cs="Tahoma"/>
          <w:b/>
          <w:sz w:val="10"/>
          <w:szCs w:val="10"/>
        </w:rPr>
      </w:pPr>
    </w:p>
    <w:p w:rsidR="009E0861" w:rsidRDefault="009E0861" w:rsidP="0089469D">
      <w:pPr>
        <w:tabs>
          <w:tab w:val="left" w:pos="1843"/>
        </w:tabs>
        <w:spacing w:after="0" w:line="276" w:lineRule="auto"/>
        <w:jc w:val="both"/>
        <w:rPr>
          <w:rFonts w:ascii="Palatino Linotype" w:hAnsi="Palatino Linotype" w:cs="Tahoma"/>
          <w:b/>
          <w:sz w:val="24"/>
          <w:szCs w:val="24"/>
        </w:rPr>
      </w:pPr>
      <w:r w:rsidRPr="00085241">
        <w:rPr>
          <w:rFonts w:ascii="Palatino Linotype" w:hAnsi="Palatino Linotype" w:cs="Tahoma"/>
          <w:b/>
          <w:sz w:val="24"/>
          <w:szCs w:val="24"/>
        </w:rPr>
        <w:t xml:space="preserve">VOTO PARTICULAR QUE FORMULA EL COMISIONADO LUIS GUSTAVO PARRA NORIEGA, EN RELACIÓN CON LA RESOLUCIÓN DEL RECURSO DE REVISIÓN </w:t>
      </w:r>
      <w:r w:rsidR="00140E9D">
        <w:rPr>
          <w:rFonts w:ascii="Palatino Linotype" w:hAnsi="Palatino Linotype" w:cs="Tahoma"/>
          <w:b/>
          <w:sz w:val="24"/>
          <w:szCs w:val="24"/>
        </w:rPr>
        <w:t>03292</w:t>
      </w:r>
      <w:r w:rsidR="00DE4452" w:rsidRPr="00085241">
        <w:rPr>
          <w:rFonts w:ascii="Palatino Linotype" w:hAnsi="Palatino Linotype" w:cs="Tahoma"/>
          <w:b/>
          <w:sz w:val="24"/>
          <w:szCs w:val="24"/>
        </w:rPr>
        <w:t>/INFOEM/IP/RR/2018</w:t>
      </w:r>
      <w:r w:rsidRPr="00085241">
        <w:rPr>
          <w:rFonts w:ascii="Palatino Linotype" w:hAnsi="Palatino Linotype" w:cs="Tahoma"/>
          <w:b/>
          <w:caps/>
          <w:sz w:val="24"/>
          <w:szCs w:val="24"/>
        </w:rPr>
        <w:t>,</w:t>
      </w:r>
      <w:r w:rsidRPr="00085241">
        <w:rPr>
          <w:rFonts w:ascii="Palatino Linotype" w:hAnsi="Palatino Linotype" w:cs="Tahoma"/>
          <w:b/>
          <w:sz w:val="24"/>
          <w:szCs w:val="24"/>
        </w:rPr>
        <w:t xml:space="preserve"> PROMOVIDO EN </w:t>
      </w:r>
      <w:r w:rsidR="00792848">
        <w:rPr>
          <w:rFonts w:ascii="Palatino Linotype" w:hAnsi="Palatino Linotype" w:cs="Tahoma"/>
          <w:b/>
          <w:sz w:val="24"/>
          <w:szCs w:val="24"/>
        </w:rPr>
        <w:t>CONTRA DEL</w:t>
      </w:r>
      <w:r w:rsidR="00140E9D">
        <w:rPr>
          <w:rFonts w:ascii="Palatino Linotype" w:hAnsi="Palatino Linotype" w:cs="Tahoma"/>
          <w:b/>
          <w:sz w:val="24"/>
          <w:szCs w:val="24"/>
        </w:rPr>
        <w:t xml:space="preserve"> TRIBUNAL ESTATAL DE CONCILIACIÓN Y ARBITRAJE</w:t>
      </w:r>
      <w:r w:rsidR="00900597">
        <w:rPr>
          <w:rFonts w:ascii="Palatino Linotype" w:hAnsi="Palatino Linotype" w:cs="Tahoma"/>
          <w:b/>
          <w:sz w:val="24"/>
          <w:szCs w:val="24"/>
        </w:rPr>
        <w:t>.</w:t>
      </w:r>
    </w:p>
    <w:p w:rsidR="0089469D" w:rsidRPr="00085241" w:rsidRDefault="0089469D" w:rsidP="0089469D">
      <w:pPr>
        <w:tabs>
          <w:tab w:val="left" w:pos="1843"/>
        </w:tabs>
        <w:spacing w:after="0" w:line="276" w:lineRule="auto"/>
        <w:jc w:val="both"/>
        <w:rPr>
          <w:rFonts w:ascii="Palatino Linotype" w:hAnsi="Palatino Linotype" w:cs="Tahoma"/>
          <w:sz w:val="24"/>
          <w:szCs w:val="24"/>
        </w:rPr>
      </w:pPr>
    </w:p>
    <w:p w:rsidR="009E0861" w:rsidRPr="00085241" w:rsidRDefault="009E0861" w:rsidP="00A462CB">
      <w:pPr>
        <w:spacing w:after="0" w:line="276" w:lineRule="auto"/>
        <w:jc w:val="both"/>
        <w:rPr>
          <w:rFonts w:ascii="Palatino Linotype" w:hAnsi="Palatino Linotype" w:cs="Tahoma"/>
          <w:sz w:val="24"/>
          <w:szCs w:val="24"/>
        </w:rPr>
      </w:pPr>
      <w:r w:rsidRPr="00085241">
        <w:rPr>
          <w:rFonts w:ascii="Palatino Linotype" w:hAnsi="Palatino Linotype" w:cs="Tahoma"/>
          <w:sz w:val="24"/>
          <w:szCs w:val="24"/>
        </w:rPr>
        <w:t xml:space="preserve">En términos de lo dispuesto por el artículo 189, párrafo primero, de la Ley de Transparencia y Acceso a la Información Pública del Estado de México y Municipios; 14, fracción XI, del Reglamento Interior del Instituto de Transparencia, Acceso a la Información Pública y Protección de Datos Personales del Estado de México y Municipios; 31, segundo párrafo y 44 último párrafo, de los Lineamientos de las Sesiones del Pleno del Instituto de Transparencia, Acceso a la Información Pública y Protección de Datos Personales del Estado de México y Municipios, emito el presente </w:t>
      </w:r>
      <w:r w:rsidRPr="00085241">
        <w:rPr>
          <w:rFonts w:ascii="Palatino Linotype" w:hAnsi="Palatino Linotype" w:cs="Tahoma"/>
          <w:b/>
          <w:sz w:val="24"/>
          <w:szCs w:val="24"/>
        </w:rPr>
        <w:t>Voto Particular</w:t>
      </w:r>
      <w:r w:rsidRPr="00085241">
        <w:rPr>
          <w:rFonts w:ascii="Palatino Linotype" w:hAnsi="Palatino Linotype" w:cs="Tahoma"/>
          <w:sz w:val="24"/>
          <w:szCs w:val="24"/>
        </w:rPr>
        <w:t xml:space="preserve"> por no compartir en su totalidad las consideraciones que sustentan la Resolución del Recurso de Revisión </w:t>
      </w:r>
      <w:r w:rsidR="00A742D1" w:rsidRPr="00023B3D">
        <w:rPr>
          <w:rFonts w:ascii="Palatino Linotype" w:hAnsi="Palatino Linotype" w:cs="Tahoma"/>
          <w:b/>
          <w:sz w:val="24"/>
          <w:szCs w:val="24"/>
        </w:rPr>
        <w:t>0</w:t>
      </w:r>
      <w:r w:rsidR="00140E9D">
        <w:rPr>
          <w:rFonts w:ascii="Palatino Linotype" w:hAnsi="Palatino Linotype" w:cs="Tahoma"/>
          <w:b/>
          <w:sz w:val="24"/>
          <w:szCs w:val="24"/>
        </w:rPr>
        <w:t>3292</w:t>
      </w:r>
      <w:r w:rsidR="00A742D1" w:rsidRPr="00023B3D">
        <w:rPr>
          <w:rFonts w:ascii="Palatino Linotype" w:hAnsi="Palatino Linotype" w:cs="Tahoma"/>
          <w:b/>
          <w:sz w:val="24"/>
          <w:szCs w:val="24"/>
        </w:rPr>
        <w:t>/INFOEM/IP/RR/</w:t>
      </w:r>
      <w:r w:rsidR="00104333" w:rsidRPr="00023B3D">
        <w:rPr>
          <w:rFonts w:ascii="Palatino Linotype" w:hAnsi="Palatino Linotype" w:cs="Tahoma"/>
          <w:b/>
          <w:sz w:val="24"/>
          <w:szCs w:val="24"/>
        </w:rPr>
        <w:t>2018</w:t>
      </w:r>
      <w:r w:rsidR="00104333" w:rsidRPr="00085241">
        <w:rPr>
          <w:rFonts w:ascii="Palatino Linotype" w:hAnsi="Palatino Linotype" w:cs="Tahoma"/>
          <w:sz w:val="24"/>
          <w:szCs w:val="24"/>
        </w:rPr>
        <w:t>.</w:t>
      </w:r>
    </w:p>
    <w:p w:rsidR="009E0861" w:rsidRDefault="009E0861" w:rsidP="00A462CB">
      <w:pPr>
        <w:spacing w:after="0" w:line="276" w:lineRule="auto"/>
        <w:jc w:val="both"/>
        <w:rPr>
          <w:rFonts w:ascii="Palatino Linotype" w:hAnsi="Palatino Linotype" w:cs="Tahoma"/>
          <w:sz w:val="24"/>
          <w:szCs w:val="24"/>
        </w:rPr>
      </w:pPr>
    </w:p>
    <w:p w:rsidR="0047082B" w:rsidRDefault="0047082B" w:rsidP="00A462CB">
      <w:pPr>
        <w:spacing w:after="0" w:line="276" w:lineRule="auto"/>
        <w:jc w:val="both"/>
        <w:rPr>
          <w:rFonts w:ascii="Palatino Linotype" w:hAnsi="Palatino Linotype" w:cs="Tahoma"/>
          <w:sz w:val="24"/>
          <w:szCs w:val="24"/>
        </w:rPr>
      </w:pPr>
      <w:r>
        <w:rPr>
          <w:rFonts w:ascii="Palatino Linotype" w:hAnsi="Palatino Linotype" w:cs="Tahoma"/>
          <w:sz w:val="24"/>
          <w:szCs w:val="24"/>
        </w:rPr>
        <w:t>En la resolución que nos ocupa, se solicitó lo siguiente:</w:t>
      </w:r>
    </w:p>
    <w:p w:rsidR="0047082B" w:rsidRDefault="0047082B" w:rsidP="00A462CB">
      <w:pPr>
        <w:spacing w:after="0" w:line="276" w:lineRule="auto"/>
        <w:jc w:val="both"/>
        <w:rPr>
          <w:rFonts w:ascii="Palatino Linotype" w:hAnsi="Palatino Linotype" w:cs="Tahoma"/>
          <w:sz w:val="24"/>
          <w:szCs w:val="24"/>
        </w:rPr>
      </w:pPr>
    </w:p>
    <w:p w:rsidR="0047082B" w:rsidRPr="0047082B" w:rsidRDefault="0047082B" w:rsidP="0047082B">
      <w:pPr>
        <w:spacing w:after="0" w:line="276" w:lineRule="auto"/>
        <w:ind w:left="567" w:right="567"/>
        <w:jc w:val="both"/>
        <w:rPr>
          <w:rFonts w:ascii="Palatino Linotype" w:hAnsi="Palatino Linotype" w:cs="Tahoma"/>
          <w:sz w:val="20"/>
          <w:szCs w:val="20"/>
        </w:rPr>
      </w:pPr>
      <w:r w:rsidRPr="0047082B">
        <w:rPr>
          <w:rFonts w:ascii="Palatino Linotype" w:hAnsi="Palatino Linotype" w:cs="Tahoma"/>
          <w:sz w:val="20"/>
          <w:szCs w:val="20"/>
        </w:rPr>
        <w:t>“Con fundamento jurídico en el artículo 6 de la Constitución Política de los Estados Unidos Mexicanos y del artículo 5 de la Constitución Política del Estado Libre y Soberano de México que tutelan el derecho de acceso a la información pública y en alcance a la solicitud 00042/TRIECA/IP/2018, tenemos a bien solicitar: a). Del archivo “LAUDOS.pdf” que contiene la relación de sentencias y laudos que causaron estado o ejecutoria, en contra del H. Ayuntamiento de Valle de Chalco Solidaridad, donde se aprecia el Número de expediente, Trabajadores, Actor y Resolución con mixtos, requerimos la versión pública de cada uno de los laudos de los expedientes enlistados en dicho documento, ya sean Absolutorios, Condenatorios o Mixtos. Agra</w:t>
      </w:r>
      <w:r w:rsidR="009E6F66">
        <w:rPr>
          <w:rFonts w:ascii="Palatino Linotype" w:hAnsi="Palatino Linotype" w:cs="Tahoma"/>
          <w:sz w:val="20"/>
          <w:szCs w:val="20"/>
        </w:rPr>
        <w:t>decemos su pronta respuesta.” (</w:t>
      </w:r>
      <w:r w:rsidR="009E6F66" w:rsidRPr="009E6F66">
        <w:rPr>
          <w:rFonts w:ascii="Palatino Linotype" w:hAnsi="Palatino Linotype" w:cs="Tahoma"/>
          <w:i/>
          <w:sz w:val="20"/>
          <w:szCs w:val="20"/>
        </w:rPr>
        <w:t>S</w:t>
      </w:r>
      <w:r w:rsidRPr="009E6F66">
        <w:rPr>
          <w:rFonts w:ascii="Palatino Linotype" w:hAnsi="Palatino Linotype" w:cs="Tahoma"/>
          <w:i/>
          <w:sz w:val="20"/>
          <w:szCs w:val="20"/>
        </w:rPr>
        <w:t>ic</w:t>
      </w:r>
      <w:r w:rsidR="009E6F66" w:rsidRPr="009E6F66">
        <w:rPr>
          <w:rFonts w:ascii="Palatino Linotype" w:hAnsi="Palatino Linotype" w:cs="Tahoma"/>
          <w:i/>
          <w:sz w:val="20"/>
          <w:szCs w:val="20"/>
        </w:rPr>
        <w:t>.</w:t>
      </w:r>
      <w:bookmarkStart w:id="0" w:name="_GoBack"/>
      <w:bookmarkEnd w:id="0"/>
      <w:r w:rsidRPr="0047082B">
        <w:rPr>
          <w:rFonts w:ascii="Palatino Linotype" w:hAnsi="Palatino Linotype" w:cs="Tahoma"/>
          <w:sz w:val="20"/>
          <w:szCs w:val="20"/>
        </w:rPr>
        <w:t>)</w:t>
      </w:r>
    </w:p>
    <w:p w:rsidR="0047082B" w:rsidRPr="00085241" w:rsidRDefault="0047082B" w:rsidP="00A462CB">
      <w:pPr>
        <w:spacing w:after="0" w:line="276" w:lineRule="auto"/>
        <w:jc w:val="both"/>
        <w:rPr>
          <w:rFonts w:ascii="Palatino Linotype" w:hAnsi="Palatino Linotype" w:cs="Tahoma"/>
          <w:sz w:val="24"/>
          <w:szCs w:val="24"/>
        </w:rPr>
      </w:pPr>
    </w:p>
    <w:p w:rsidR="0047082B" w:rsidRDefault="0047082B" w:rsidP="00140E9D">
      <w:pPr>
        <w:spacing w:after="0" w:line="276" w:lineRule="auto"/>
        <w:jc w:val="both"/>
        <w:rPr>
          <w:rFonts w:ascii="Palatino Linotype" w:hAnsi="Palatino Linotype" w:cs="Tahoma"/>
          <w:sz w:val="24"/>
          <w:szCs w:val="24"/>
        </w:rPr>
      </w:pPr>
    </w:p>
    <w:p w:rsidR="002575B5" w:rsidRDefault="0047082B" w:rsidP="00140E9D">
      <w:pPr>
        <w:spacing w:after="0" w:line="276" w:lineRule="auto"/>
        <w:jc w:val="both"/>
        <w:rPr>
          <w:rFonts w:ascii="Palatino Linotype" w:hAnsi="Palatino Linotype" w:cs="Tahoma"/>
          <w:sz w:val="24"/>
          <w:szCs w:val="24"/>
        </w:rPr>
      </w:pPr>
      <w:r>
        <w:rPr>
          <w:rFonts w:ascii="Palatino Linotype" w:hAnsi="Palatino Linotype" w:cs="Tahoma"/>
          <w:sz w:val="24"/>
          <w:szCs w:val="24"/>
        </w:rPr>
        <w:lastRenderedPageBreak/>
        <w:t xml:space="preserve">En respuesta el Sujeto Obligado aclaró al particular que la información que da respuesta a la solicitud anterior, se entregó por error; sin embargo, preciso que los laudos aún no habían causado estado o ejecutoria; por lo que remitió el acuerdo de clasificación de la información como reservada. Al respecto, la Ponencia resolutoria determina que procede hacer un nuevo acuerdo en el que se funde y motive de manera adecuada la clasificación invocada y determina </w:t>
      </w:r>
      <w:r w:rsidR="00140E9D">
        <w:rPr>
          <w:rFonts w:ascii="Palatino Linotype" w:hAnsi="Palatino Linotype" w:cs="Tahoma"/>
          <w:sz w:val="24"/>
          <w:szCs w:val="24"/>
        </w:rPr>
        <w:t xml:space="preserve">dar vista a la Contraloría </w:t>
      </w:r>
      <w:r w:rsidR="00140E9D" w:rsidRPr="00140E9D">
        <w:rPr>
          <w:rFonts w:ascii="Palatino Linotype" w:hAnsi="Palatino Linotype" w:cs="Tahoma"/>
          <w:sz w:val="24"/>
          <w:szCs w:val="24"/>
        </w:rPr>
        <w:t>Interna y Órgano de Control y Vigilancia de este Instituto, de conformidad con el artículo 190 de la Ley de Transparencia y Acceso a la Información Pública del Estado de México y Municipios</w:t>
      </w:r>
      <w:r w:rsidR="00AE25BB">
        <w:rPr>
          <w:rFonts w:ascii="Palatino Linotype" w:hAnsi="Palatino Linotype" w:cs="Tahoma"/>
          <w:sz w:val="24"/>
          <w:szCs w:val="24"/>
        </w:rPr>
        <w:t>, para que</w:t>
      </w:r>
      <w:r w:rsidR="00140E9D" w:rsidRPr="00140E9D">
        <w:rPr>
          <w:rFonts w:ascii="Palatino Linotype" w:hAnsi="Palatino Linotype" w:cs="Tahoma"/>
          <w:sz w:val="24"/>
          <w:szCs w:val="24"/>
        </w:rPr>
        <w:t xml:space="preserve"> determine lo conducente</w:t>
      </w:r>
      <w:r w:rsidR="00AE25BB">
        <w:rPr>
          <w:rFonts w:ascii="Palatino Linotype" w:hAnsi="Palatino Linotype" w:cs="Tahoma"/>
          <w:sz w:val="24"/>
          <w:szCs w:val="24"/>
        </w:rPr>
        <w:t xml:space="preserve"> respecto las inconsistencias que se advierten en </w:t>
      </w:r>
      <w:r w:rsidR="004C2651">
        <w:rPr>
          <w:rFonts w:ascii="Palatino Linotype" w:hAnsi="Palatino Linotype" w:cs="Tahoma"/>
          <w:sz w:val="24"/>
          <w:szCs w:val="24"/>
        </w:rPr>
        <w:t xml:space="preserve">la respuesta a </w:t>
      </w:r>
      <w:r>
        <w:rPr>
          <w:rFonts w:ascii="Palatino Linotype" w:hAnsi="Palatino Linotype" w:cs="Tahoma"/>
          <w:sz w:val="24"/>
          <w:szCs w:val="24"/>
        </w:rPr>
        <w:t>l</w:t>
      </w:r>
      <w:r w:rsidR="00AE25BB">
        <w:rPr>
          <w:rFonts w:ascii="Palatino Linotype" w:hAnsi="Palatino Linotype" w:cs="Tahoma"/>
          <w:sz w:val="24"/>
          <w:szCs w:val="24"/>
        </w:rPr>
        <w:t xml:space="preserve">a solicitud </w:t>
      </w:r>
      <w:r w:rsidR="004C2651">
        <w:rPr>
          <w:rFonts w:ascii="Palatino Linotype" w:hAnsi="Palatino Linotype" w:cs="Tahoma"/>
          <w:sz w:val="24"/>
          <w:szCs w:val="24"/>
        </w:rPr>
        <w:t xml:space="preserve">de acceso a información </w:t>
      </w:r>
      <w:r w:rsidR="00AE25BB">
        <w:rPr>
          <w:rFonts w:ascii="Palatino Linotype" w:hAnsi="Palatino Linotype" w:cs="Tahoma"/>
          <w:sz w:val="24"/>
          <w:szCs w:val="24"/>
        </w:rPr>
        <w:t xml:space="preserve">diversa a la </w:t>
      </w:r>
      <w:r w:rsidR="004C2651">
        <w:rPr>
          <w:rFonts w:ascii="Palatino Linotype" w:hAnsi="Palatino Linotype" w:cs="Tahoma"/>
          <w:sz w:val="24"/>
          <w:szCs w:val="24"/>
        </w:rPr>
        <w:t xml:space="preserve">analizada en la resolución </w:t>
      </w:r>
      <w:r w:rsidR="00AE25BB">
        <w:rPr>
          <w:rFonts w:ascii="Palatino Linotype" w:hAnsi="Palatino Linotype" w:cs="Tahoma"/>
          <w:sz w:val="24"/>
          <w:szCs w:val="24"/>
        </w:rPr>
        <w:t>que nos ocupa.</w:t>
      </w:r>
    </w:p>
    <w:p w:rsidR="00AE25BB" w:rsidRDefault="00AE25BB" w:rsidP="00140E9D">
      <w:pPr>
        <w:spacing w:after="0" w:line="276" w:lineRule="auto"/>
        <w:jc w:val="both"/>
        <w:rPr>
          <w:rFonts w:ascii="Palatino Linotype" w:hAnsi="Palatino Linotype" w:cs="Tahoma"/>
          <w:sz w:val="24"/>
          <w:szCs w:val="24"/>
        </w:rPr>
      </w:pPr>
    </w:p>
    <w:p w:rsidR="00AE25BB" w:rsidRDefault="00AE25BB" w:rsidP="00140E9D">
      <w:pPr>
        <w:spacing w:after="0" w:line="276" w:lineRule="auto"/>
        <w:jc w:val="both"/>
        <w:rPr>
          <w:rFonts w:ascii="Palatino Linotype" w:hAnsi="Palatino Linotype" w:cs="Tahoma"/>
          <w:sz w:val="24"/>
          <w:szCs w:val="24"/>
        </w:rPr>
      </w:pPr>
      <w:r>
        <w:rPr>
          <w:rFonts w:ascii="Palatino Linotype" w:hAnsi="Palatino Linotype" w:cs="Tahoma"/>
          <w:sz w:val="24"/>
          <w:szCs w:val="24"/>
        </w:rPr>
        <w:t xml:space="preserve">No obstante, de conformidad con la Tesis </w:t>
      </w:r>
      <w:r w:rsidRPr="00AE25BB">
        <w:rPr>
          <w:rFonts w:ascii="Palatino Linotype" w:hAnsi="Palatino Linotype" w:cs="Tahoma"/>
          <w:sz w:val="24"/>
          <w:szCs w:val="24"/>
        </w:rPr>
        <w:t>VII.2o.C.154 C (10a.)</w:t>
      </w:r>
      <w:r>
        <w:rPr>
          <w:rFonts w:ascii="Palatino Linotype" w:hAnsi="Palatino Linotype" w:cs="Tahoma"/>
          <w:sz w:val="24"/>
          <w:szCs w:val="24"/>
        </w:rPr>
        <w:t xml:space="preserve">, </w:t>
      </w:r>
      <w:r w:rsidRPr="00AE25BB">
        <w:rPr>
          <w:rFonts w:ascii="Palatino Linotype" w:hAnsi="Palatino Linotype" w:cs="Tahoma"/>
          <w:sz w:val="24"/>
          <w:szCs w:val="24"/>
        </w:rPr>
        <w:t>de la Segunda Sala de la Suprema Corte de Justicia de la</w:t>
      </w:r>
      <w:r>
        <w:rPr>
          <w:rFonts w:ascii="Palatino Linotype" w:hAnsi="Palatino Linotype" w:cs="Tahoma"/>
          <w:sz w:val="24"/>
          <w:szCs w:val="24"/>
        </w:rPr>
        <w:t xml:space="preserve"> Nación, visible en la página 2895</w:t>
      </w:r>
      <w:r w:rsidRPr="00AE25BB">
        <w:rPr>
          <w:rFonts w:ascii="Palatino Linotype" w:hAnsi="Palatino Linotype" w:cs="Tahoma"/>
          <w:sz w:val="24"/>
          <w:szCs w:val="24"/>
        </w:rPr>
        <w:t xml:space="preserve"> del Semanario Judicial de l</w:t>
      </w:r>
      <w:r>
        <w:rPr>
          <w:rFonts w:ascii="Palatino Linotype" w:hAnsi="Palatino Linotype" w:cs="Tahoma"/>
          <w:sz w:val="24"/>
          <w:szCs w:val="24"/>
        </w:rPr>
        <w:t>a Federación y su Gaceta, Tomo III, Agosto de 2018, Décima</w:t>
      </w:r>
      <w:r w:rsidRPr="00AE25BB">
        <w:rPr>
          <w:rFonts w:ascii="Palatino Linotype" w:hAnsi="Palatino Linotype" w:cs="Tahoma"/>
          <w:sz w:val="24"/>
          <w:szCs w:val="24"/>
        </w:rPr>
        <w:t xml:space="preserve"> Época, de rubro LITIS Y MEDIOS DE PRUEBA DIRECTAMENTE RELEVANTES. SU DETERMINACIÓN EN LOS JUICIOS QUE SE RIGEN POR EL PRINCIPIO DISPOSITIVO</w:t>
      </w:r>
      <w:r>
        <w:rPr>
          <w:rFonts w:ascii="Palatino Linotype" w:hAnsi="Palatino Linotype" w:cs="Tahoma"/>
          <w:sz w:val="24"/>
          <w:szCs w:val="24"/>
        </w:rPr>
        <w:t xml:space="preserve">, en la parte que nos interesa, indica que la Litis se fija </w:t>
      </w:r>
      <w:r w:rsidRPr="00AE25BB">
        <w:rPr>
          <w:rFonts w:ascii="Palatino Linotype" w:hAnsi="Palatino Linotype" w:cs="Tahoma"/>
          <w:sz w:val="24"/>
          <w:szCs w:val="24"/>
        </w:rPr>
        <w:t>por una parte, con las hipótesis de los hechos expuestos en la demanda, la contestación y el desahogo de la vista correspondiente y, de ser el caso, en atención al contenido de la demanda en reconvención</w:t>
      </w:r>
      <w:r w:rsidR="007E17CF">
        <w:rPr>
          <w:rFonts w:ascii="Palatino Linotype" w:hAnsi="Palatino Linotype" w:cs="Tahoma"/>
          <w:sz w:val="24"/>
          <w:szCs w:val="24"/>
        </w:rPr>
        <w:t>, su contestación y la vista a e</w:t>
      </w:r>
      <w:r w:rsidRPr="00AE25BB">
        <w:rPr>
          <w:rFonts w:ascii="Palatino Linotype" w:hAnsi="Palatino Linotype" w:cs="Tahoma"/>
          <w:sz w:val="24"/>
          <w:szCs w:val="24"/>
        </w:rPr>
        <w:t>sta.</w:t>
      </w:r>
    </w:p>
    <w:p w:rsidR="00140E9D" w:rsidRDefault="00140E9D" w:rsidP="00140E9D">
      <w:pPr>
        <w:spacing w:after="0" w:line="276" w:lineRule="auto"/>
        <w:jc w:val="both"/>
        <w:rPr>
          <w:rFonts w:ascii="Palatino Linotype" w:hAnsi="Palatino Linotype" w:cs="Tahoma"/>
          <w:sz w:val="24"/>
          <w:szCs w:val="24"/>
        </w:rPr>
      </w:pPr>
    </w:p>
    <w:p w:rsidR="00140E9D" w:rsidRDefault="00AE25BB" w:rsidP="00AE25BB">
      <w:pPr>
        <w:spacing w:after="0" w:line="276" w:lineRule="auto"/>
        <w:jc w:val="both"/>
        <w:rPr>
          <w:rFonts w:ascii="Palatino Linotype" w:hAnsi="Palatino Linotype" w:cs="Tahoma"/>
          <w:sz w:val="24"/>
          <w:szCs w:val="24"/>
        </w:rPr>
      </w:pPr>
      <w:r>
        <w:rPr>
          <w:rFonts w:ascii="Palatino Linotype" w:hAnsi="Palatino Linotype" w:cs="Tahoma"/>
          <w:sz w:val="24"/>
          <w:szCs w:val="24"/>
        </w:rPr>
        <w:t xml:space="preserve">Es decir, que en el presente asunto, tomando en consideración la solicitud de acceso a la información, la respuesta del Sujeto Obligado y el recurso de revisión del ahora recurrente, la </w:t>
      </w:r>
      <w:r w:rsidRPr="00AE25BB">
        <w:rPr>
          <w:rFonts w:ascii="Palatino Linotype" w:hAnsi="Palatino Linotype" w:cs="Tahoma"/>
          <w:b/>
          <w:sz w:val="24"/>
          <w:szCs w:val="24"/>
          <w:u w:val="single"/>
        </w:rPr>
        <w:t>Litis consiste en la clasificación de los Laudos de los expedientes que causaron estado o ejecutoria</w:t>
      </w:r>
      <w:r>
        <w:rPr>
          <w:rFonts w:ascii="Palatino Linotype" w:hAnsi="Palatino Linotype" w:cs="Tahoma"/>
          <w:sz w:val="24"/>
          <w:szCs w:val="24"/>
        </w:rPr>
        <w:t>. En ese sentido, este Instituto al pronunciar la resolución que decida la controversia</w:t>
      </w:r>
      <w:r w:rsidRPr="00AE25BB">
        <w:rPr>
          <w:rFonts w:ascii="Palatino Linotype" w:hAnsi="Palatino Linotype" w:cs="Tahoma"/>
          <w:sz w:val="24"/>
          <w:szCs w:val="24"/>
        </w:rPr>
        <w:t xml:space="preserve"> en lo principal, no pu</w:t>
      </w:r>
      <w:r>
        <w:rPr>
          <w:rFonts w:ascii="Palatino Linotype" w:hAnsi="Palatino Linotype" w:cs="Tahoma"/>
          <w:sz w:val="24"/>
          <w:szCs w:val="24"/>
        </w:rPr>
        <w:t xml:space="preserve">ede ocuparse en la resolución de puntos o cuestiones no </w:t>
      </w:r>
      <w:r w:rsidRPr="00AE25BB">
        <w:rPr>
          <w:rFonts w:ascii="Palatino Linotype" w:hAnsi="Palatino Linotype" w:cs="Tahoma"/>
          <w:sz w:val="24"/>
          <w:szCs w:val="24"/>
        </w:rPr>
        <w:t xml:space="preserve">comprendidas en la </w:t>
      </w:r>
      <w:r>
        <w:rPr>
          <w:rFonts w:ascii="Palatino Linotype" w:hAnsi="Palatino Linotype" w:cs="Tahoma"/>
          <w:sz w:val="24"/>
          <w:szCs w:val="24"/>
        </w:rPr>
        <w:t>Litis</w:t>
      </w:r>
      <w:r w:rsidR="007E17CF">
        <w:rPr>
          <w:rFonts w:ascii="Palatino Linotype" w:hAnsi="Palatino Linotype" w:cs="Tahoma"/>
          <w:sz w:val="24"/>
          <w:szCs w:val="24"/>
        </w:rPr>
        <w:t xml:space="preserve">, más aún cuando el motivo de dar vista a la </w:t>
      </w:r>
      <w:r w:rsidR="00A628A7" w:rsidRPr="00AE25BB">
        <w:rPr>
          <w:rFonts w:ascii="Palatino Linotype" w:hAnsi="Palatino Linotype" w:cs="Tahoma"/>
          <w:sz w:val="24"/>
          <w:szCs w:val="24"/>
        </w:rPr>
        <w:t>Contraloría Interna y Órgano de Control y Vigilancia de este Instituto</w:t>
      </w:r>
      <w:r w:rsidR="007E17CF">
        <w:rPr>
          <w:rFonts w:ascii="Palatino Linotype" w:hAnsi="Palatino Linotype" w:cs="Tahoma"/>
          <w:sz w:val="24"/>
          <w:szCs w:val="24"/>
        </w:rPr>
        <w:t>, tiene como objetivo verificar la atención a una solicitud distinta.</w:t>
      </w:r>
    </w:p>
    <w:p w:rsidR="00140E9D" w:rsidRDefault="00140E9D" w:rsidP="00140E9D">
      <w:pPr>
        <w:spacing w:after="0" w:line="276" w:lineRule="auto"/>
        <w:jc w:val="both"/>
        <w:rPr>
          <w:rFonts w:ascii="Palatino Linotype" w:hAnsi="Palatino Linotype" w:cs="Tahoma"/>
          <w:sz w:val="24"/>
          <w:szCs w:val="24"/>
        </w:rPr>
      </w:pPr>
    </w:p>
    <w:p w:rsidR="00745A79" w:rsidRDefault="00AE25BB" w:rsidP="00140E9D">
      <w:pPr>
        <w:spacing w:after="0" w:line="276" w:lineRule="auto"/>
        <w:jc w:val="both"/>
        <w:rPr>
          <w:rFonts w:ascii="Palatino Linotype" w:hAnsi="Palatino Linotype" w:cs="Tahoma"/>
          <w:sz w:val="24"/>
          <w:szCs w:val="24"/>
        </w:rPr>
      </w:pPr>
      <w:r>
        <w:rPr>
          <w:rFonts w:ascii="Palatino Linotype" w:hAnsi="Palatino Linotype" w:cs="Tahoma"/>
          <w:sz w:val="24"/>
          <w:szCs w:val="24"/>
        </w:rPr>
        <w:t xml:space="preserve">Bajo esa lógica, </w:t>
      </w:r>
      <w:r w:rsidR="00745A79">
        <w:rPr>
          <w:rFonts w:ascii="Palatino Linotype" w:hAnsi="Palatino Linotype" w:cs="Tahoma"/>
          <w:sz w:val="24"/>
          <w:szCs w:val="24"/>
        </w:rPr>
        <w:t>este Instituto no debe ocuparse del estudio o inferencia de posibles omisiones suscitadas durante el trámite de una solicitud de acceso a la información pública que no es materia del procedimiento actual, máxime que el solicitante únicamente la trae a colación a manera de referencia</w:t>
      </w:r>
      <w:r w:rsidR="005A6025">
        <w:rPr>
          <w:rFonts w:ascii="Palatino Linotype" w:hAnsi="Palatino Linotype" w:cs="Tahoma"/>
          <w:sz w:val="24"/>
          <w:szCs w:val="24"/>
        </w:rPr>
        <w:t>, para que le sea proporcionada información adicional</w:t>
      </w:r>
      <w:r w:rsidR="00745A79">
        <w:rPr>
          <w:rFonts w:ascii="Palatino Linotype" w:hAnsi="Palatino Linotype" w:cs="Tahoma"/>
          <w:sz w:val="24"/>
          <w:szCs w:val="24"/>
        </w:rPr>
        <w:t>.</w:t>
      </w:r>
    </w:p>
    <w:p w:rsidR="00745A79" w:rsidRDefault="00745A79" w:rsidP="00140E9D">
      <w:pPr>
        <w:spacing w:after="0" w:line="276" w:lineRule="auto"/>
        <w:jc w:val="both"/>
        <w:rPr>
          <w:rFonts w:ascii="Palatino Linotype" w:hAnsi="Palatino Linotype" w:cs="Tahoma"/>
          <w:sz w:val="24"/>
          <w:szCs w:val="24"/>
        </w:rPr>
      </w:pPr>
    </w:p>
    <w:p w:rsidR="00745A79" w:rsidRDefault="00745A79" w:rsidP="00140E9D">
      <w:pPr>
        <w:spacing w:after="0" w:line="276" w:lineRule="auto"/>
        <w:jc w:val="both"/>
        <w:rPr>
          <w:rFonts w:ascii="Palatino Linotype" w:hAnsi="Palatino Linotype" w:cs="Tahoma"/>
          <w:sz w:val="24"/>
          <w:szCs w:val="24"/>
        </w:rPr>
      </w:pPr>
      <w:r>
        <w:rPr>
          <w:rFonts w:ascii="Palatino Linotype" w:hAnsi="Palatino Linotype" w:cs="Tahoma"/>
          <w:sz w:val="24"/>
          <w:szCs w:val="24"/>
        </w:rPr>
        <w:t xml:space="preserve">Por </w:t>
      </w:r>
      <w:r w:rsidR="00A628A7">
        <w:rPr>
          <w:rFonts w:ascii="Palatino Linotype" w:hAnsi="Palatino Linotype" w:cs="Tahoma"/>
          <w:sz w:val="24"/>
          <w:szCs w:val="24"/>
        </w:rPr>
        <w:t xml:space="preserve">lo </w:t>
      </w:r>
      <w:r>
        <w:rPr>
          <w:rFonts w:ascii="Palatino Linotype" w:hAnsi="Palatino Linotype" w:cs="Tahoma"/>
          <w:sz w:val="24"/>
          <w:szCs w:val="24"/>
        </w:rPr>
        <w:t xml:space="preserve">tanto, desde mi punto de vista, considero que </w:t>
      </w:r>
      <w:r w:rsidR="00AE25BB">
        <w:rPr>
          <w:rFonts w:ascii="Palatino Linotype" w:hAnsi="Palatino Linotype" w:cs="Tahoma"/>
          <w:sz w:val="24"/>
          <w:szCs w:val="24"/>
        </w:rPr>
        <w:t>no se debe ordenar una cuestión que se aparta de los términos de la Litis</w:t>
      </w:r>
      <w:r>
        <w:rPr>
          <w:rFonts w:ascii="Palatino Linotype" w:hAnsi="Palatino Linotype" w:cs="Tahoma"/>
          <w:sz w:val="24"/>
          <w:szCs w:val="24"/>
        </w:rPr>
        <w:t>,</w:t>
      </w:r>
      <w:r w:rsidR="00AE25BB">
        <w:rPr>
          <w:rFonts w:ascii="Palatino Linotype" w:hAnsi="Palatino Linotype" w:cs="Tahoma"/>
          <w:sz w:val="24"/>
          <w:szCs w:val="24"/>
        </w:rPr>
        <w:t xml:space="preserve"> </w:t>
      </w:r>
      <w:r>
        <w:rPr>
          <w:rFonts w:ascii="Palatino Linotype" w:hAnsi="Palatino Linotype" w:cs="Tahoma"/>
          <w:sz w:val="24"/>
          <w:szCs w:val="24"/>
        </w:rPr>
        <w:t>c</w:t>
      </w:r>
      <w:r w:rsidR="00AE25BB">
        <w:rPr>
          <w:rFonts w:ascii="Palatino Linotype" w:hAnsi="Palatino Linotype" w:cs="Tahoma"/>
          <w:sz w:val="24"/>
          <w:szCs w:val="24"/>
        </w:rPr>
        <w:t xml:space="preserve">omo lo es, en el caso en concreto, la vista a </w:t>
      </w:r>
      <w:r w:rsidR="00AE25BB" w:rsidRPr="00AE25BB">
        <w:rPr>
          <w:rFonts w:ascii="Palatino Linotype" w:hAnsi="Palatino Linotype" w:cs="Tahoma"/>
          <w:sz w:val="24"/>
          <w:szCs w:val="24"/>
        </w:rPr>
        <w:t>Contraloría Interna y Órgano de Control y Vigilancia de este Instituto</w:t>
      </w:r>
      <w:r w:rsidR="00AE25BB">
        <w:rPr>
          <w:rFonts w:ascii="Palatino Linotype" w:hAnsi="Palatino Linotype" w:cs="Tahoma"/>
          <w:sz w:val="24"/>
          <w:szCs w:val="24"/>
        </w:rPr>
        <w:t xml:space="preserve">, con base en posibles </w:t>
      </w:r>
      <w:r>
        <w:rPr>
          <w:rFonts w:ascii="Palatino Linotype" w:hAnsi="Palatino Linotype" w:cs="Tahoma"/>
          <w:sz w:val="24"/>
          <w:szCs w:val="24"/>
        </w:rPr>
        <w:t>inconsistencias durante el trámite de una solicitud de acceso a la información que no forma parte de la controversia que se resuelve en la presente resolución.</w:t>
      </w:r>
    </w:p>
    <w:p w:rsidR="00A96CE5" w:rsidRPr="00085241" w:rsidRDefault="00A96CE5" w:rsidP="00A462CB">
      <w:pPr>
        <w:spacing w:after="0" w:line="276" w:lineRule="auto"/>
        <w:jc w:val="both"/>
        <w:rPr>
          <w:rFonts w:ascii="Palatino Linotype" w:eastAsia="Arial Unicode MS" w:hAnsi="Palatino Linotype" w:cs="Tahoma"/>
          <w:sz w:val="24"/>
          <w:szCs w:val="24"/>
        </w:rPr>
      </w:pPr>
    </w:p>
    <w:p w:rsidR="009E0861" w:rsidRPr="00085241" w:rsidRDefault="009E0861" w:rsidP="00A462CB">
      <w:pPr>
        <w:spacing w:after="0" w:line="276" w:lineRule="auto"/>
        <w:jc w:val="both"/>
        <w:rPr>
          <w:rFonts w:ascii="Palatino Linotype" w:hAnsi="Palatino Linotype" w:cs="Tahoma"/>
          <w:sz w:val="24"/>
          <w:szCs w:val="24"/>
        </w:rPr>
      </w:pPr>
      <w:r w:rsidRPr="00085241">
        <w:rPr>
          <w:rFonts w:ascii="Palatino Linotype" w:hAnsi="Palatino Linotype" w:cs="Tahoma"/>
          <w:sz w:val="24"/>
          <w:szCs w:val="24"/>
        </w:rPr>
        <w:t xml:space="preserve">Así, con base en los razonamientos expuestos, </w:t>
      </w:r>
      <w:r w:rsidRPr="00085241">
        <w:rPr>
          <w:rFonts w:ascii="Palatino Linotype" w:hAnsi="Palatino Linotype" w:cs="Tahoma"/>
          <w:b/>
          <w:sz w:val="24"/>
          <w:szCs w:val="24"/>
        </w:rPr>
        <w:t>se emite el presente Voto Particular</w:t>
      </w:r>
      <w:r w:rsidRPr="00085241">
        <w:rPr>
          <w:rFonts w:ascii="Palatino Linotype" w:hAnsi="Palatino Linotype" w:cs="Tahoma"/>
          <w:sz w:val="24"/>
          <w:szCs w:val="24"/>
        </w:rPr>
        <w:t>.</w:t>
      </w:r>
    </w:p>
    <w:p w:rsidR="00553ADE" w:rsidRPr="00085241" w:rsidRDefault="00553ADE" w:rsidP="00A462CB">
      <w:pPr>
        <w:spacing w:after="0" w:line="276" w:lineRule="auto"/>
        <w:jc w:val="center"/>
        <w:rPr>
          <w:rFonts w:ascii="Palatino Linotype" w:hAnsi="Palatino Linotype" w:cs="Tahoma"/>
          <w:sz w:val="24"/>
          <w:szCs w:val="24"/>
        </w:rPr>
      </w:pPr>
    </w:p>
    <w:p w:rsidR="00553ADE" w:rsidRPr="00A0224B" w:rsidRDefault="00A0224B" w:rsidP="00A0224B">
      <w:pPr>
        <w:spacing w:after="0" w:line="276" w:lineRule="auto"/>
        <w:jc w:val="center"/>
        <w:rPr>
          <w:rFonts w:ascii="Palatino Linotype" w:hAnsi="Palatino Linotype" w:cs="Tahoma"/>
          <w:b/>
          <w:sz w:val="24"/>
          <w:szCs w:val="24"/>
        </w:rPr>
      </w:pPr>
      <w:r w:rsidRPr="00A0224B">
        <w:rPr>
          <w:rFonts w:ascii="Palatino Linotype" w:hAnsi="Palatino Linotype" w:cs="Tahoma"/>
          <w:b/>
          <w:sz w:val="24"/>
          <w:szCs w:val="24"/>
        </w:rPr>
        <w:t>(Rúbrica)</w:t>
      </w:r>
    </w:p>
    <w:p w:rsidR="00553ADE" w:rsidRPr="00085241" w:rsidRDefault="00553ADE" w:rsidP="00A462CB">
      <w:pPr>
        <w:spacing w:after="0" w:line="276" w:lineRule="auto"/>
        <w:jc w:val="center"/>
        <w:rPr>
          <w:rFonts w:ascii="Palatino Linotype" w:hAnsi="Palatino Linotype" w:cs="Tahoma"/>
          <w:b/>
          <w:sz w:val="24"/>
          <w:szCs w:val="24"/>
        </w:rPr>
      </w:pPr>
      <w:r w:rsidRPr="00085241">
        <w:rPr>
          <w:rFonts w:ascii="Palatino Linotype" w:hAnsi="Palatino Linotype" w:cs="Tahoma"/>
          <w:b/>
          <w:sz w:val="24"/>
          <w:szCs w:val="24"/>
        </w:rPr>
        <w:t>Luis Gustavo Parra Noriega</w:t>
      </w:r>
    </w:p>
    <w:p w:rsidR="003512C9" w:rsidRPr="00085241" w:rsidRDefault="00553ADE" w:rsidP="00F44957">
      <w:pPr>
        <w:spacing w:after="0" w:line="276" w:lineRule="auto"/>
        <w:jc w:val="center"/>
        <w:rPr>
          <w:rFonts w:ascii="Palatino Linotype" w:hAnsi="Palatino Linotype" w:cs="Tahoma"/>
          <w:sz w:val="24"/>
          <w:szCs w:val="24"/>
        </w:rPr>
      </w:pPr>
      <w:r w:rsidRPr="00085241">
        <w:rPr>
          <w:rFonts w:ascii="Palatino Linotype" w:hAnsi="Palatino Linotype" w:cs="Tahoma"/>
          <w:sz w:val="24"/>
          <w:szCs w:val="24"/>
        </w:rPr>
        <w:t>Comisionado</w:t>
      </w:r>
    </w:p>
    <w:sectPr w:rsidR="003512C9" w:rsidRPr="00085241" w:rsidSect="00140E9D">
      <w:headerReference w:type="default" r:id="rId8"/>
      <w:footerReference w:type="default" r:id="rId9"/>
      <w:pgSz w:w="12240" w:h="15840" w:code="1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34C" w:rsidRDefault="00EB434C" w:rsidP="00EE29F6">
      <w:pPr>
        <w:spacing w:after="0" w:line="240" w:lineRule="auto"/>
      </w:pPr>
      <w:r>
        <w:separator/>
      </w:r>
    </w:p>
  </w:endnote>
  <w:endnote w:type="continuationSeparator" w:id="0">
    <w:p w:rsidR="00EB434C" w:rsidRDefault="00EB434C" w:rsidP="00EE2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1525503"/>
      <w:docPartObj>
        <w:docPartGallery w:val="Page Numbers (Bottom of Page)"/>
        <w:docPartUnique/>
      </w:docPartObj>
    </w:sdtPr>
    <w:sdtEndPr/>
    <w:sdtContent>
      <w:sdt>
        <w:sdtPr>
          <w:id w:val="1035002440"/>
          <w:docPartObj>
            <w:docPartGallery w:val="Page Numbers (Top of Page)"/>
            <w:docPartUnique/>
          </w:docPartObj>
        </w:sdtPr>
        <w:sdtEndPr/>
        <w:sdtContent>
          <w:p w:rsidR="00363357" w:rsidRDefault="00363357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B128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B128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63357" w:rsidRDefault="0036335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34C" w:rsidRDefault="00EB434C" w:rsidP="00EE29F6">
      <w:pPr>
        <w:spacing w:after="0" w:line="240" w:lineRule="auto"/>
      </w:pPr>
      <w:r>
        <w:separator/>
      </w:r>
    </w:p>
  </w:footnote>
  <w:footnote w:type="continuationSeparator" w:id="0">
    <w:p w:rsidR="00EB434C" w:rsidRDefault="00EB434C" w:rsidP="00EE2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830"/>
      <w:gridCol w:w="6237"/>
    </w:tblGrid>
    <w:tr w:rsidR="00363357" w:rsidRPr="001106EA" w:rsidTr="00140E9D">
      <w:trPr>
        <w:trHeight w:val="2551"/>
      </w:trPr>
      <w:tc>
        <w:tcPr>
          <w:tcW w:w="2830" w:type="dxa"/>
          <w:vAlign w:val="bottom"/>
        </w:tcPr>
        <w:p w:rsidR="00363357" w:rsidRDefault="00363357" w:rsidP="0077694E">
          <w:pPr>
            <w:pStyle w:val="Encabezado"/>
            <w:tabs>
              <w:tab w:val="clear" w:pos="4252"/>
              <w:tab w:val="center" w:pos="2614"/>
            </w:tabs>
            <w:ind w:left="-255"/>
          </w:pPr>
          <w:r>
            <w:rPr>
              <w:noProof/>
              <w:sz w:val="10"/>
              <w:szCs w:val="10"/>
              <w:lang w:val="es-MX" w:eastAsia="es-MX"/>
            </w:rPr>
            <w:drawing>
              <wp:inline distT="0" distB="0" distL="0" distR="0">
                <wp:extent cx="1873633" cy="1126540"/>
                <wp:effectExtent l="0" t="0" r="0" b="0"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tipo Infoem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0616" cy="11608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363357" w:rsidRDefault="00363357" w:rsidP="0077694E">
          <w:pPr>
            <w:pStyle w:val="Encabezado"/>
            <w:tabs>
              <w:tab w:val="clear" w:pos="4252"/>
              <w:tab w:val="center" w:pos="2614"/>
            </w:tabs>
          </w:pPr>
        </w:p>
      </w:tc>
      <w:tc>
        <w:tcPr>
          <w:tcW w:w="6237" w:type="dxa"/>
          <w:vAlign w:val="center"/>
        </w:tcPr>
        <w:p w:rsidR="00363357" w:rsidRPr="001106EA" w:rsidRDefault="00363357" w:rsidP="001106EA">
          <w:pPr>
            <w:pStyle w:val="Encabezado"/>
            <w:ind w:left="-108" w:right="-250"/>
            <w:jc w:val="both"/>
            <w:rPr>
              <w:rFonts w:ascii="Tahoma" w:hAnsi="Tahoma" w:cs="Tahoma"/>
            </w:rPr>
          </w:pPr>
        </w:p>
        <w:tbl>
          <w:tblPr>
            <w:tblStyle w:val="Tablaconcuadrcula"/>
            <w:tblW w:w="5563" w:type="dxa"/>
            <w:tblInd w:w="459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2586"/>
            <w:gridCol w:w="2977"/>
          </w:tblGrid>
          <w:tr w:rsidR="005A4884" w:rsidTr="005A4884">
            <w:trPr>
              <w:gridAfter w:val="1"/>
              <w:wAfter w:w="2977" w:type="dxa"/>
              <w:trHeight w:val="463"/>
            </w:trPr>
            <w:tc>
              <w:tcPr>
                <w:tcW w:w="2586" w:type="dxa"/>
              </w:tcPr>
              <w:p w:rsidR="005A4884" w:rsidRDefault="005A4884" w:rsidP="005A4884">
                <w:pPr>
                  <w:pStyle w:val="Encabezado"/>
                  <w:ind w:left="386"/>
                  <w:jc w:val="right"/>
                  <w:rPr>
                    <w:rFonts w:ascii="Palatino Linotype" w:hAnsi="Palatino Linotype" w:cs="Tahoma"/>
                    <w:b/>
                  </w:rPr>
                </w:pPr>
                <w:r w:rsidRPr="00085241">
                  <w:rPr>
                    <w:rFonts w:ascii="Palatino Linotype" w:hAnsi="Palatino Linotype" w:cs="Tahoma"/>
                    <w:b/>
                  </w:rPr>
                  <w:t>Voto Particular</w:t>
                </w:r>
              </w:p>
            </w:tc>
          </w:tr>
          <w:tr w:rsidR="005A4884" w:rsidTr="005A4884">
            <w:tblPrEx>
              <w:tblCellMar>
                <w:left w:w="108" w:type="dxa"/>
                <w:right w:w="108" w:type="dxa"/>
              </w:tblCellMar>
              <w:tblLook w:val="04A0" w:firstRow="1" w:lastRow="0" w:firstColumn="1" w:lastColumn="0" w:noHBand="0" w:noVBand="1"/>
            </w:tblPrEx>
            <w:tc>
              <w:tcPr>
                <w:tcW w:w="2586" w:type="dxa"/>
              </w:tcPr>
              <w:p w:rsidR="005A4884" w:rsidRDefault="005A4884" w:rsidP="005A4884">
                <w:pPr>
                  <w:pStyle w:val="Encabezado"/>
                  <w:jc w:val="right"/>
                  <w:rPr>
                    <w:rFonts w:ascii="Palatino Linotype" w:hAnsi="Palatino Linotype" w:cs="Tahoma"/>
                    <w:b/>
                  </w:rPr>
                </w:pPr>
                <w:r w:rsidRPr="00085241">
                  <w:rPr>
                    <w:rFonts w:ascii="Palatino Linotype" w:hAnsi="Palatino Linotype" w:cs="Tahoma"/>
                    <w:b/>
                  </w:rPr>
                  <w:t>Recurso de Revisión:</w:t>
                </w:r>
              </w:p>
            </w:tc>
            <w:tc>
              <w:tcPr>
                <w:tcW w:w="2977" w:type="dxa"/>
              </w:tcPr>
              <w:p w:rsidR="005A4884" w:rsidRDefault="00140E9D" w:rsidP="005A4884">
                <w:pPr>
                  <w:pStyle w:val="Encabezado"/>
                  <w:jc w:val="both"/>
                  <w:rPr>
                    <w:rFonts w:ascii="Palatino Linotype" w:hAnsi="Palatino Linotype" w:cs="Tahoma"/>
                    <w:b/>
                  </w:rPr>
                </w:pPr>
                <w:r>
                  <w:rPr>
                    <w:rFonts w:ascii="Palatino Linotype" w:hAnsi="Palatino Linotype" w:cs="Tahoma"/>
                    <w:b/>
                  </w:rPr>
                  <w:t>03292</w:t>
                </w:r>
                <w:r w:rsidR="005A4884" w:rsidRPr="00085241">
                  <w:rPr>
                    <w:rFonts w:ascii="Palatino Linotype" w:hAnsi="Palatino Linotype" w:cs="Tahoma"/>
                    <w:b/>
                  </w:rPr>
                  <w:t>/INFOEM/IP/RR/2018</w:t>
                </w:r>
              </w:p>
            </w:tc>
          </w:tr>
          <w:tr w:rsidR="005A4884" w:rsidTr="005A4884">
            <w:tblPrEx>
              <w:tblCellMar>
                <w:left w:w="108" w:type="dxa"/>
                <w:right w:w="108" w:type="dxa"/>
              </w:tblCellMar>
              <w:tblLook w:val="04A0" w:firstRow="1" w:lastRow="0" w:firstColumn="1" w:lastColumn="0" w:noHBand="0" w:noVBand="1"/>
            </w:tblPrEx>
            <w:tc>
              <w:tcPr>
                <w:tcW w:w="2586" w:type="dxa"/>
              </w:tcPr>
              <w:p w:rsidR="005A4884" w:rsidRDefault="005A4884" w:rsidP="005A4884">
                <w:pPr>
                  <w:pStyle w:val="Encabezado"/>
                  <w:jc w:val="right"/>
                  <w:rPr>
                    <w:rFonts w:ascii="Palatino Linotype" w:hAnsi="Palatino Linotype" w:cs="Tahoma"/>
                    <w:b/>
                  </w:rPr>
                </w:pPr>
                <w:r w:rsidRPr="00085241">
                  <w:rPr>
                    <w:rFonts w:ascii="Palatino Linotype" w:hAnsi="Palatino Linotype" w:cs="Tahoma"/>
                    <w:b/>
                  </w:rPr>
                  <w:t>Sujeto Obligado:</w:t>
                </w:r>
              </w:p>
            </w:tc>
            <w:tc>
              <w:tcPr>
                <w:tcW w:w="2977" w:type="dxa"/>
              </w:tcPr>
              <w:p w:rsidR="005A4884" w:rsidRDefault="00140E9D" w:rsidP="00C76E99">
                <w:pPr>
                  <w:pStyle w:val="Encabezado"/>
                  <w:jc w:val="both"/>
                  <w:rPr>
                    <w:rFonts w:ascii="Palatino Linotype" w:hAnsi="Palatino Linotype" w:cs="Tahoma"/>
                    <w:b/>
                  </w:rPr>
                </w:pPr>
                <w:r>
                  <w:rPr>
                    <w:rFonts w:ascii="Palatino Linotype" w:hAnsi="Palatino Linotype" w:cs="Tahoma"/>
                    <w:b/>
                  </w:rPr>
                  <w:t>Tribunal Estatal de Conciliación y Arbitraje</w:t>
                </w:r>
              </w:p>
            </w:tc>
          </w:tr>
          <w:tr w:rsidR="005A4884" w:rsidTr="005A4884">
            <w:tblPrEx>
              <w:tblCellMar>
                <w:left w:w="108" w:type="dxa"/>
                <w:right w:w="108" w:type="dxa"/>
              </w:tblCellMar>
              <w:tblLook w:val="04A0" w:firstRow="1" w:lastRow="0" w:firstColumn="1" w:lastColumn="0" w:noHBand="0" w:noVBand="1"/>
            </w:tblPrEx>
            <w:tc>
              <w:tcPr>
                <w:tcW w:w="2586" w:type="dxa"/>
              </w:tcPr>
              <w:p w:rsidR="005A4884" w:rsidRDefault="005A4884" w:rsidP="005A4884">
                <w:pPr>
                  <w:pStyle w:val="Encabezado"/>
                  <w:jc w:val="right"/>
                  <w:rPr>
                    <w:rFonts w:ascii="Palatino Linotype" w:hAnsi="Palatino Linotype" w:cs="Tahoma"/>
                    <w:b/>
                  </w:rPr>
                </w:pPr>
                <w:r w:rsidRPr="00085241">
                  <w:rPr>
                    <w:rFonts w:ascii="Palatino Linotype" w:hAnsi="Palatino Linotype" w:cs="Tahoma"/>
                    <w:b/>
                  </w:rPr>
                  <w:t>Comisionada Ponente:</w:t>
                </w:r>
              </w:p>
            </w:tc>
            <w:tc>
              <w:tcPr>
                <w:tcW w:w="2977" w:type="dxa"/>
              </w:tcPr>
              <w:p w:rsidR="005A4884" w:rsidRDefault="00140E9D" w:rsidP="005A4884">
                <w:pPr>
                  <w:pStyle w:val="Encabezado"/>
                  <w:jc w:val="both"/>
                  <w:rPr>
                    <w:rFonts w:ascii="Palatino Linotype" w:hAnsi="Palatino Linotype" w:cs="Tahoma"/>
                    <w:b/>
                  </w:rPr>
                </w:pPr>
                <w:r>
                  <w:rPr>
                    <w:rFonts w:ascii="Palatino Linotype" w:hAnsi="Palatino Linotype" w:cs="Tahoma"/>
                    <w:b/>
                  </w:rPr>
                  <w:t>Eva Abaid Yapur</w:t>
                </w:r>
              </w:p>
            </w:tc>
          </w:tr>
        </w:tbl>
        <w:p w:rsidR="00363357" w:rsidRPr="001106EA" w:rsidRDefault="00363357" w:rsidP="005A4884">
          <w:pPr>
            <w:pStyle w:val="Encabezado"/>
            <w:ind w:left="850"/>
            <w:jc w:val="both"/>
            <w:rPr>
              <w:rFonts w:ascii="Tahoma" w:hAnsi="Tahoma" w:cs="Tahoma"/>
            </w:rPr>
          </w:pPr>
        </w:p>
      </w:tc>
    </w:tr>
  </w:tbl>
  <w:p w:rsidR="00363357" w:rsidRPr="001106EA" w:rsidRDefault="00363357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F780A"/>
    <w:multiLevelType w:val="hybridMultilevel"/>
    <w:tmpl w:val="AB1CBE76"/>
    <w:lvl w:ilvl="0" w:tplc="90E419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A1345"/>
    <w:multiLevelType w:val="hybridMultilevel"/>
    <w:tmpl w:val="0636BA6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31484"/>
    <w:multiLevelType w:val="hybridMultilevel"/>
    <w:tmpl w:val="8B0812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8438F"/>
    <w:multiLevelType w:val="hybridMultilevel"/>
    <w:tmpl w:val="977CD68A"/>
    <w:lvl w:ilvl="0" w:tplc="B0788A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8377C"/>
    <w:multiLevelType w:val="hybridMultilevel"/>
    <w:tmpl w:val="09E4C9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B76DE"/>
    <w:multiLevelType w:val="hybridMultilevel"/>
    <w:tmpl w:val="67F0C59E"/>
    <w:lvl w:ilvl="0" w:tplc="D5A23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0D20E6"/>
    <w:multiLevelType w:val="hybridMultilevel"/>
    <w:tmpl w:val="C38A3C5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7F44A1"/>
    <w:multiLevelType w:val="hybridMultilevel"/>
    <w:tmpl w:val="3C68C53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833EDE"/>
    <w:multiLevelType w:val="hybridMultilevel"/>
    <w:tmpl w:val="0F627D4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5768EB"/>
    <w:multiLevelType w:val="hybridMultilevel"/>
    <w:tmpl w:val="85E400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8135DD"/>
    <w:multiLevelType w:val="hybridMultilevel"/>
    <w:tmpl w:val="5CBE3C10"/>
    <w:lvl w:ilvl="0" w:tplc="B28052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D76236"/>
    <w:multiLevelType w:val="hybridMultilevel"/>
    <w:tmpl w:val="70002C2C"/>
    <w:lvl w:ilvl="0" w:tplc="AEAA63F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74828"/>
    <w:multiLevelType w:val="hybridMultilevel"/>
    <w:tmpl w:val="D95ADC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0F5798"/>
    <w:multiLevelType w:val="hybridMultilevel"/>
    <w:tmpl w:val="09E4C9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990414"/>
    <w:multiLevelType w:val="hybridMultilevel"/>
    <w:tmpl w:val="4FE43AA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D06758"/>
    <w:multiLevelType w:val="hybridMultilevel"/>
    <w:tmpl w:val="E0BE6E6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194963"/>
    <w:multiLevelType w:val="hybridMultilevel"/>
    <w:tmpl w:val="224633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0"/>
  </w:num>
  <w:num w:numId="5">
    <w:abstractNumId w:val="11"/>
  </w:num>
  <w:num w:numId="6">
    <w:abstractNumId w:val="3"/>
  </w:num>
  <w:num w:numId="7">
    <w:abstractNumId w:val="8"/>
  </w:num>
  <w:num w:numId="8">
    <w:abstractNumId w:val="15"/>
  </w:num>
  <w:num w:numId="9">
    <w:abstractNumId w:val="12"/>
  </w:num>
  <w:num w:numId="10">
    <w:abstractNumId w:val="13"/>
  </w:num>
  <w:num w:numId="11">
    <w:abstractNumId w:val="14"/>
  </w:num>
  <w:num w:numId="12">
    <w:abstractNumId w:val="1"/>
  </w:num>
  <w:num w:numId="13">
    <w:abstractNumId w:val="7"/>
  </w:num>
  <w:num w:numId="14">
    <w:abstractNumId w:val="16"/>
  </w:num>
  <w:num w:numId="15">
    <w:abstractNumId w:val="5"/>
  </w:num>
  <w:num w:numId="16">
    <w:abstractNumId w:val="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9F6"/>
    <w:rsid w:val="00004811"/>
    <w:rsid w:val="00004F11"/>
    <w:rsid w:val="00006F73"/>
    <w:rsid w:val="0001600D"/>
    <w:rsid w:val="00020D08"/>
    <w:rsid w:val="00023B3D"/>
    <w:rsid w:val="0002483E"/>
    <w:rsid w:val="0002627D"/>
    <w:rsid w:val="0002759D"/>
    <w:rsid w:val="000301C6"/>
    <w:rsid w:val="000466A3"/>
    <w:rsid w:val="00056BD3"/>
    <w:rsid w:val="00060F74"/>
    <w:rsid w:val="0006561A"/>
    <w:rsid w:val="00085241"/>
    <w:rsid w:val="0008691F"/>
    <w:rsid w:val="00087AC8"/>
    <w:rsid w:val="0009277A"/>
    <w:rsid w:val="00097988"/>
    <w:rsid w:val="00097A79"/>
    <w:rsid w:val="000B235B"/>
    <w:rsid w:val="000B7F6F"/>
    <w:rsid w:val="000C10B7"/>
    <w:rsid w:val="000C6052"/>
    <w:rsid w:val="000D186F"/>
    <w:rsid w:val="000F1CD2"/>
    <w:rsid w:val="00104333"/>
    <w:rsid w:val="0010688C"/>
    <w:rsid w:val="001106EA"/>
    <w:rsid w:val="001159DC"/>
    <w:rsid w:val="00116E1A"/>
    <w:rsid w:val="00136AD8"/>
    <w:rsid w:val="0014038B"/>
    <w:rsid w:val="00140A57"/>
    <w:rsid w:val="00140E9D"/>
    <w:rsid w:val="0014736A"/>
    <w:rsid w:val="00161815"/>
    <w:rsid w:val="00162325"/>
    <w:rsid w:val="00164625"/>
    <w:rsid w:val="00164BFE"/>
    <w:rsid w:val="0018472D"/>
    <w:rsid w:val="00193AA8"/>
    <w:rsid w:val="00197A72"/>
    <w:rsid w:val="001A145C"/>
    <w:rsid w:val="001A6BD9"/>
    <w:rsid w:val="001B45FA"/>
    <w:rsid w:val="001B5AAD"/>
    <w:rsid w:val="001C1C64"/>
    <w:rsid w:val="001C363A"/>
    <w:rsid w:val="0020052A"/>
    <w:rsid w:val="00231B68"/>
    <w:rsid w:val="00243A13"/>
    <w:rsid w:val="00246FAF"/>
    <w:rsid w:val="002575B5"/>
    <w:rsid w:val="00273B3C"/>
    <w:rsid w:val="0028037C"/>
    <w:rsid w:val="002816CB"/>
    <w:rsid w:val="00284F85"/>
    <w:rsid w:val="0029421B"/>
    <w:rsid w:val="00295BA5"/>
    <w:rsid w:val="002A138B"/>
    <w:rsid w:val="002A1727"/>
    <w:rsid w:val="002A2EE7"/>
    <w:rsid w:val="002B0E4A"/>
    <w:rsid w:val="002B2877"/>
    <w:rsid w:val="002C2405"/>
    <w:rsid w:val="002C7EBD"/>
    <w:rsid w:val="002E4A9A"/>
    <w:rsid w:val="002E5A1A"/>
    <w:rsid w:val="00333B7A"/>
    <w:rsid w:val="00344DD1"/>
    <w:rsid w:val="003512C9"/>
    <w:rsid w:val="00363357"/>
    <w:rsid w:val="00390188"/>
    <w:rsid w:val="003973A2"/>
    <w:rsid w:val="003A6218"/>
    <w:rsid w:val="003A6BD2"/>
    <w:rsid w:val="003B5F3A"/>
    <w:rsid w:val="003B6547"/>
    <w:rsid w:val="003B7A5E"/>
    <w:rsid w:val="003C374F"/>
    <w:rsid w:val="003F2426"/>
    <w:rsid w:val="003F48C2"/>
    <w:rsid w:val="003F7CBE"/>
    <w:rsid w:val="0040139C"/>
    <w:rsid w:val="004023ED"/>
    <w:rsid w:val="00412CB2"/>
    <w:rsid w:val="004211BB"/>
    <w:rsid w:val="00433746"/>
    <w:rsid w:val="00434B91"/>
    <w:rsid w:val="00434C88"/>
    <w:rsid w:val="00435E69"/>
    <w:rsid w:val="0044391A"/>
    <w:rsid w:val="00445038"/>
    <w:rsid w:val="004452E2"/>
    <w:rsid w:val="00445BDF"/>
    <w:rsid w:val="00446891"/>
    <w:rsid w:val="00447F6F"/>
    <w:rsid w:val="00450B68"/>
    <w:rsid w:val="0045407C"/>
    <w:rsid w:val="0045695E"/>
    <w:rsid w:val="00467ACB"/>
    <w:rsid w:val="0047082B"/>
    <w:rsid w:val="00485822"/>
    <w:rsid w:val="00490F50"/>
    <w:rsid w:val="004A4555"/>
    <w:rsid w:val="004A555E"/>
    <w:rsid w:val="004B08C4"/>
    <w:rsid w:val="004B541F"/>
    <w:rsid w:val="004B674B"/>
    <w:rsid w:val="004C2651"/>
    <w:rsid w:val="004C4912"/>
    <w:rsid w:val="004C6E57"/>
    <w:rsid w:val="004E4CA3"/>
    <w:rsid w:val="004E7007"/>
    <w:rsid w:val="004F0B86"/>
    <w:rsid w:val="00511E06"/>
    <w:rsid w:val="0052260F"/>
    <w:rsid w:val="00524DA5"/>
    <w:rsid w:val="00526DBD"/>
    <w:rsid w:val="00533EA5"/>
    <w:rsid w:val="00543DF4"/>
    <w:rsid w:val="00544812"/>
    <w:rsid w:val="00550AA5"/>
    <w:rsid w:val="00553ADE"/>
    <w:rsid w:val="0056120D"/>
    <w:rsid w:val="0056175F"/>
    <w:rsid w:val="00582CCB"/>
    <w:rsid w:val="00584D73"/>
    <w:rsid w:val="0059329D"/>
    <w:rsid w:val="005A2510"/>
    <w:rsid w:val="005A4884"/>
    <w:rsid w:val="005A6025"/>
    <w:rsid w:val="005C094E"/>
    <w:rsid w:val="005C73EE"/>
    <w:rsid w:val="005D11C8"/>
    <w:rsid w:val="005E2798"/>
    <w:rsid w:val="00600164"/>
    <w:rsid w:val="00600323"/>
    <w:rsid w:val="00605683"/>
    <w:rsid w:val="006248F2"/>
    <w:rsid w:val="00624DE5"/>
    <w:rsid w:val="00627F2B"/>
    <w:rsid w:val="00645087"/>
    <w:rsid w:val="00651B2B"/>
    <w:rsid w:val="00654604"/>
    <w:rsid w:val="00654ACD"/>
    <w:rsid w:val="00657396"/>
    <w:rsid w:val="0066374D"/>
    <w:rsid w:val="00682003"/>
    <w:rsid w:val="00684B16"/>
    <w:rsid w:val="006B16FE"/>
    <w:rsid w:val="006B6D1A"/>
    <w:rsid w:val="006F5316"/>
    <w:rsid w:val="007071CF"/>
    <w:rsid w:val="00722FE9"/>
    <w:rsid w:val="00724F08"/>
    <w:rsid w:val="007378E2"/>
    <w:rsid w:val="00742A15"/>
    <w:rsid w:val="00745A79"/>
    <w:rsid w:val="0077694E"/>
    <w:rsid w:val="00781082"/>
    <w:rsid w:val="007849A1"/>
    <w:rsid w:val="00792848"/>
    <w:rsid w:val="007A1071"/>
    <w:rsid w:val="007A2D13"/>
    <w:rsid w:val="007B27AD"/>
    <w:rsid w:val="007B3C62"/>
    <w:rsid w:val="007D3257"/>
    <w:rsid w:val="007D5554"/>
    <w:rsid w:val="007E17CF"/>
    <w:rsid w:val="007E3F77"/>
    <w:rsid w:val="007F1C1D"/>
    <w:rsid w:val="007F41BF"/>
    <w:rsid w:val="007F7D80"/>
    <w:rsid w:val="00802879"/>
    <w:rsid w:val="00825382"/>
    <w:rsid w:val="00836BC2"/>
    <w:rsid w:val="00861757"/>
    <w:rsid w:val="008629DC"/>
    <w:rsid w:val="00874170"/>
    <w:rsid w:val="00884A10"/>
    <w:rsid w:val="00891412"/>
    <w:rsid w:val="008933AC"/>
    <w:rsid w:val="0089469D"/>
    <w:rsid w:val="008A0447"/>
    <w:rsid w:val="008A1DE1"/>
    <w:rsid w:val="008A3DA9"/>
    <w:rsid w:val="008B08C9"/>
    <w:rsid w:val="008E54E2"/>
    <w:rsid w:val="00900597"/>
    <w:rsid w:val="009039FE"/>
    <w:rsid w:val="00903A99"/>
    <w:rsid w:val="00922B2E"/>
    <w:rsid w:val="00924A73"/>
    <w:rsid w:val="00926581"/>
    <w:rsid w:val="00927138"/>
    <w:rsid w:val="00927BD1"/>
    <w:rsid w:val="00941847"/>
    <w:rsid w:val="00950355"/>
    <w:rsid w:val="0095470A"/>
    <w:rsid w:val="00954BF1"/>
    <w:rsid w:val="00962B86"/>
    <w:rsid w:val="009656BB"/>
    <w:rsid w:val="00965DE9"/>
    <w:rsid w:val="00974836"/>
    <w:rsid w:val="0099308A"/>
    <w:rsid w:val="00993790"/>
    <w:rsid w:val="009943E1"/>
    <w:rsid w:val="009B1771"/>
    <w:rsid w:val="009B22ED"/>
    <w:rsid w:val="009B2C0B"/>
    <w:rsid w:val="009B6C8D"/>
    <w:rsid w:val="009C0313"/>
    <w:rsid w:val="009D07E2"/>
    <w:rsid w:val="009D49BE"/>
    <w:rsid w:val="009E0861"/>
    <w:rsid w:val="009E41F7"/>
    <w:rsid w:val="009E42B2"/>
    <w:rsid w:val="009E6F66"/>
    <w:rsid w:val="009F63B7"/>
    <w:rsid w:val="00A0224B"/>
    <w:rsid w:val="00A13E40"/>
    <w:rsid w:val="00A14343"/>
    <w:rsid w:val="00A22273"/>
    <w:rsid w:val="00A30C52"/>
    <w:rsid w:val="00A364BA"/>
    <w:rsid w:val="00A462CB"/>
    <w:rsid w:val="00A5061A"/>
    <w:rsid w:val="00A54E21"/>
    <w:rsid w:val="00A56DE1"/>
    <w:rsid w:val="00A628A7"/>
    <w:rsid w:val="00A63FE9"/>
    <w:rsid w:val="00A67498"/>
    <w:rsid w:val="00A742D1"/>
    <w:rsid w:val="00A87924"/>
    <w:rsid w:val="00A96933"/>
    <w:rsid w:val="00A96CE5"/>
    <w:rsid w:val="00AA090B"/>
    <w:rsid w:val="00AA261E"/>
    <w:rsid w:val="00AA38A5"/>
    <w:rsid w:val="00AC333A"/>
    <w:rsid w:val="00AD25D5"/>
    <w:rsid w:val="00AE25BB"/>
    <w:rsid w:val="00AF3B6B"/>
    <w:rsid w:val="00B15570"/>
    <w:rsid w:val="00B2355E"/>
    <w:rsid w:val="00B263C5"/>
    <w:rsid w:val="00B27BBC"/>
    <w:rsid w:val="00B30925"/>
    <w:rsid w:val="00B40BF9"/>
    <w:rsid w:val="00B67355"/>
    <w:rsid w:val="00B71740"/>
    <w:rsid w:val="00B73847"/>
    <w:rsid w:val="00B7393F"/>
    <w:rsid w:val="00B761B1"/>
    <w:rsid w:val="00B80C28"/>
    <w:rsid w:val="00B85D21"/>
    <w:rsid w:val="00BA3C25"/>
    <w:rsid w:val="00BB6EE3"/>
    <w:rsid w:val="00BC4882"/>
    <w:rsid w:val="00BC55D2"/>
    <w:rsid w:val="00BD06FC"/>
    <w:rsid w:val="00BD4705"/>
    <w:rsid w:val="00BD5DBE"/>
    <w:rsid w:val="00BE678B"/>
    <w:rsid w:val="00BF1AC9"/>
    <w:rsid w:val="00C0033F"/>
    <w:rsid w:val="00C0131C"/>
    <w:rsid w:val="00C153EC"/>
    <w:rsid w:val="00C30FD6"/>
    <w:rsid w:val="00C31FEE"/>
    <w:rsid w:val="00C55FFC"/>
    <w:rsid w:val="00C75CE0"/>
    <w:rsid w:val="00C76E99"/>
    <w:rsid w:val="00C920D4"/>
    <w:rsid w:val="00CA7627"/>
    <w:rsid w:val="00CC68E1"/>
    <w:rsid w:val="00CD4339"/>
    <w:rsid w:val="00CD6D0D"/>
    <w:rsid w:val="00CD7611"/>
    <w:rsid w:val="00CE3CDC"/>
    <w:rsid w:val="00CE46B3"/>
    <w:rsid w:val="00CE50F9"/>
    <w:rsid w:val="00CF11EE"/>
    <w:rsid w:val="00CF1B14"/>
    <w:rsid w:val="00CF432B"/>
    <w:rsid w:val="00D05740"/>
    <w:rsid w:val="00D11C52"/>
    <w:rsid w:val="00D13875"/>
    <w:rsid w:val="00D15D07"/>
    <w:rsid w:val="00D160F2"/>
    <w:rsid w:val="00D342D7"/>
    <w:rsid w:val="00D357E1"/>
    <w:rsid w:val="00D37CDC"/>
    <w:rsid w:val="00D45BDF"/>
    <w:rsid w:val="00D51426"/>
    <w:rsid w:val="00D51C81"/>
    <w:rsid w:val="00D55429"/>
    <w:rsid w:val="00D6548F"/>
    <w:rsid w:val="00D65D0C"/>
    <w:rsid w:val="00D666D4"/>
    <w:rsid w:val="00D7239D"/>
    <w:rsid w:val="00D750EC"/>
    <w:rsid w:val="00D75FAE"/>
    <w:rsid w:val="00D76EA4"/>
    <w:rsid w:val="00D77F63"/>
    <w:rsid w:val="00D81CB3"/>
    <w:rsid w:val="00D9114A"/>
    <w:rsid w:val="00D932AD"/>
    <w:rsid w:val="00DA11C0"/>
    <w:rsid w:val="00DB128F"/>
    <w:rsid w:val="00DC3D8D"/>
    <w:rsid w:val="00DE4452"/>
    <w:rsid w:val="00DF2784"/>
    <w:rsid w:val="00DF6CA0"/>
    <w:rsid w:val="00E0104F"/>
    <w:rsid w:val="00E145E1"/>
    <w:rsid w:val="00E26123"/>
    <w:rsid w:val="00E34559"/>
    <w:rsid w:val="00E41481"/>
    <w:rsid w:val="00E416F8"/>
    <w:rsid w:val="00E656C1"/>
    <w:rsid w:val="00E70B5D"/>
    <w:rsid w:val="00E750E2"/>
    <w:rsid w:val="00E80E84"/>
    <w:rsid w:val="00E82F77"/>
    <w:rsid w:val="00E83683"/>
    <w:rsid w:val="00E910F8"/>
    <w:rsid w:val="00EA7E26"/>
    <w:rsid w:val="00EB434C"/>
    <w:rsid w:val="00EB7128"/>
    <w:rsid w:val="00EE29F6"/>
    <w:rsid w:val="00EE3972"/>
    <w:rsid w:val="00F030F8"/>
    <w:rsid w:val="00F05A41"/>
    <w:rsid w:val="00F14384"/>
    <w:rsid w:val="00F31A38"/>
    <w:rsid w:val="00F44957"/>
    <w:rsid w:val="00F72D12"/>
    <w:rsid w:val="00F75629"/>
    <w:rsid w:val="00FB3044"/>
    <w:rsid w:val="00FB59D6"/>
    <w:rsid w:val="00FC1D9D"/>
    <w:rsid w:val="00FD1849"/>
    <w:rsid w:val="00FD3150"/>
    <w:rsid w:val="00FD530D"/>
    <w:rsid w:val="00FE4A90"/>
    <w:rsid w:val="00FF2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7A7E73E-C5B1-46B9-8381-700F8B750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0D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29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29F6"/>
  </w:style>
  <w:style w:type="paragraph" w:styleId="Piedepgina">
    <w:name w:val="footer"/>
    <w:basedOn w:val="Normal"/>
    <w:link w:val="PiedepginaCar"/>
    <w:uiPriority w:val="99"/>
    <w:unhideWhenUsed/>
    <w:rsid w:val="00EE29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29F6"/>
  </w:style>
  <w:style w:type="table" w:styleId="Tablaconcuadrcula">
    <w:name w:val="Table Grid"/>
    <w:basedOn w:val="Tablanormal"/>
    <w:uiPriority w:val="39"/>
    <w:rsid w:val="00EE2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72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239D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24DA5"/>
    <w:pPr>
      <w:ind w:left="720"/>
      <w:contextualSpacing/>
    </w:pPr>
  </w:style>
  <w:style w:type="paragraph" w:styleId="Textonotapie">
    <w:name w:val="footnote text"/>
    <w:basedOn w:val="Normal"/>
    <w:link w:val="TextonotapieCar"/>
    <w:semiHidden/>
    <w:unhideWhenUsed/>
    <w:rsid w:val="009943E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943E1"/>
    <w:rPr>
      <w:sz w:val="20"/>
      <w:szCs w:val="20"/>
    </w:rPr>
  </w:style>
  <w:style w:type="character" w:styleId="Refdenotaalpie">
    <w:name w:val="footnote reference"/>
    <w:aliases w:val="Ref,de nota al pie,ftref,BVI fnr,16 Point,Superscript 6 Point,(Diplomarbeit FZ),Footnote Reference,Texto de nota al pie,Footnotes refss,Appel note de bas de page,Footnote number,referencia nota al pie,f,4_G,Style 10, BVI fnr"/>
    <w:basedOn w:val="Fuentedeprrafopredeter"/>
    <w:uiPriority w:val="99"/>
    <w:unhideWhenUsed/>
    <w:qFormat/>
    <w:rsid w:val="009943E1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1159DC"/>
    <w:rPr>
      <w:color w:val="0563C1" w:themeColor="hyperlink"/>
      <w:u w:val="single"/>
    </w:rPr>
  </w:style>
  <w:style w:type="character" w:styleId="Textoennegrita">
    <w:name w:val="Strong"/>
    <w:basedOn w:val="Fuentedeprrafopredeter"/>
    <w:qFormat/>
    <w:rsid w:val="008933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11795-0D59-4B55-AE46-78FC292D4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755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10</cp:revision>
  <cp:lastPrinted>2018-10-01T19:36:00Z</cp:lastPrinted>
  <dcterms:created xsi:type="dcterms:W3CDTF">2018-11-12T21:40:00Z</dcterms:created>
  <dcterms:modified xsi:type="dcterms:W3CDTF">2018-11-12T21:52:00Z</dcterms:modified>
</cp:coreProperties>
</file>